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FAD2" w14:textId="3FB9A273" w:rsidR="00FB3C38" w:rsidRPr="00370B69" w:rsidRDefault="00173C78" w:rsidP="00FB3C38">
      <w:pPr>
        <w:spacing w:line="220" w:lineRule="exact"/>
        <w:rPr>
          <w:sz w:val="18"/>
        </w:rPr>
      </w:pPr>
      <w:r>
        <w:rPr>
          <w:rFonts w:hint="eastAsia"/>
          <w:sz w:val="18"/>
        </w:rPr>
        <w:t>第</w:t>
      </w:r>
      <w:r w:rsidR="00FB3C38" w:rsidRPr="00370B69">
        <w:rPr>
          <w:rFonts w:hint="eastAsia"/>
          <w:sz w:val="18"/>
        </w:rPr>
        <w:t>５</w:t>
      </w:r>
      <w:r>
        <w:rPr>
          <w:rFonts w:hint="eastAsia"/>
          <w:sz w:val="18"/>
        </w:rPr>
        <w:t>号様式</w:t>
      </w:r>
      <w:r w:rsidR="00FB3C38" w:rsidRPr="00370B69">
        <w:rPr>
          <w:rFonts w:hint="eastAsia"/>
          <w:sz w:val="18"/>
        </w:rPr>
        <w:t xml:space="preserve">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1258" w14:textId="77777777" w:rsidR="00707353" w:rsidRDefault="00707353">
      <w:r>
        <w:separator/>
      </w:r>
    </w:p>
  </w:endnote>
  <w:endnote w:type="continuationSeparator" w:id="0">
    <w:p w14:paraId="1F899D1D" w14:textId="77777777" w:rsidR="00707353" w:rsidRDefault="007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7CAB" w14:textId="77777777" w:rsidR="00707353" w:rsidRDefault="00707353">
      <w:r>
        <w:separator/>
      </w:r>
    </w:p>
  </w:footnote>
  <w:footnote w:type="continuationSeparator" w:id="0">
    <w:p w14:paraId="7ECE4396" w14:textId="77777777" w:rsidR="00707353" w:rsidRDefault="007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0F6208"/>
    <w:rsid w:val="00100570"/>
    <w:rsid w:val="001014C8"/>
    <w:rsid w:val="00113391"/>
    <w:rsid w:val="001273FC"/>
    <w:rsid w:val="0013442A"/>
    <w:rsid w:val="00155104"/>
    <w:rsid w:val="0016768A"/>
    <w:rsid w:val="00173C78"/>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E6FE7"/>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967</Words>
  <Characters>5515</Characters>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6470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