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cd673d06-242b-452a-b911-66d8dce91310"/>
    <w:p w14:paraId="00000001">
      <w:pPr>
        <w:rPr>
          <w:sz w:val="21"/>
          <w:szCs w:val="21"/>
        </w:rPr>
        <w:pStyle w:val="Normal"/>
        <w:jc w:val="both"/>
        <w:ind w:left="0" w:right="0"/>
        <w:spacing/>
      </w:pPr>
      <w:r>
        <w:rPr>
          <w:sz w:val="22"/>
          <w:szCs w:val="22"/>
          <w:color w:val="auto"/>
          <w:rFonts w:ascii="Century" w:hAnsi="Century" w:eastAsia="ＭＳ 明朝"/>
        </w:rPr>
        <w:t xml:space="preserve">第10号様式　別紙　添付書類一覧</w:t>
      </w:r>
    </w:p>
    <w:p w14:paraId="00000002">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45960f2e-1ad6-4bdf-852c-bafac0dfbba0"/>
    <w:p w14:paraId="00000003">
      <w:pPr>
        <w:rPr>
          <w:sz w:val="21"/>
          <w:szCs w:val="21"/>
        </w:rPr>
        <w:pStyle w:val="Normal"/>
        <w:jc w:val="both"/>
        <w:ind w:left="0" w:right="0"/>
        <w:spacing/>
      </w:pPr>
      <w:r>
        <w:rPr>
          <w:sz w:val="21"/>
          <w:szCs w:val="21"/>
          <w:color w:val="auto"/>
          <w:rFonts w:ascii="Century" w:hAnsi="Century" w:eastAsia="ＭＳ 明朝"/>
        </w:rPr>
        <w:t xml:space="preserve">【共通】</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2628" w:type="dxa"/>
        <w:gridCol w:w="6405" w:type="dxa"/>
      </w:tblGrid>
      <w:tr>
        <w:trPr/>
        <w:tc>
          <w:tcPr>
            <w:tcW w:w="262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4">
            <w:pPr>
              <w:rPr>
                <w:sz w:val="21"/>
                <w:szCs w:val="21"/>
              </w:rPr>
              <w:pStyle w:val="Normal"/>
              <w:jc w:val="both"/>
              <w:ind w:left="0" w:right="0"/>
              <w:spacing/>
            </w:pPr>
            <w:r>
              <w:rPr>
                <w:sz w:val="22"/>
                <w:szCs w:val="22"/>
                <w:color w:val="auto"/>
                <w:rFonts w:ascii="Century" w:hAnsi="Century" w:eastAsia="ＭＳ 明朝"/>
              </w:rPr>
              <w:t xml:space="preserve">補助対象事業</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5">
            <w:pPr>
              <w:rPr>
                <w:sz w:val="21"/>
                <w:szCs w:val="21"/>
              </w:rPr>
              <w:pStyle w:val="Normal"/>
              <w:jc w:val="both"/>
              <w:ind w:left="0" w:right="0"/>
              <w:spacing/>
            </w:pPr>
            <w:r>
              <w:rPr>
                <w:sz w:val="22"/>
                <w:szCs w:val="22"/>
                <w:color w:val="auto"/>
                <w:rFonts w:ascii="Century" w:hAnsi="Century" w:eastAsia="ＭＳ 明朝"/>
              </w:rPr>
              <w:t xml:space="preserve">添付書類</w:t>
            </w:r>
          </w:p>
        </w:tc>
      </w:tr>
      <w:tr>
        <w:trPr/>
        <w:tc>
          <w:tcPr>
            <w:tcW w:w="2628" w:type="dxa"/>
            <w:tcBorders>
              <w:top w:val="single" w:sz="2" w:space="0" w:color="000000"/>
              <w:left w:val="single" w:sz="2" w:space="0" w:color="000000"/>
              <w:bottom w:val="nil" w:sz="2" w:space="0" w:color="000000"/>
              <w:right w:val="single" w:sz="2" w:space="0" w:color="000000"/>
              <w:insideH w:val="single" w:sz="2" w:space="0" w:color="000000"/>
              <w:insideV w:val="single" w:sz="2" w:space="0" w:color="000000"/>
            </w:tcBorders>
            <w:vAlign w:val="top"/>
          </w:tcPr>
          <w:p w14:paraId="00000006">
            <w:pPr>
              <w:rPr>
                <w:sz w:val="21"/>
                <w:szCs w:val="21"/>
              </w:rPr>
              <w:pStyle w:val="Normal"/>
              <w:jc w:val="both"/>
              <w:ind w:left="0" w:right="0"/>
              <w:spacing/>
            </w:pPr>
            <w:r>
              <w:rPr>
                <w:sz w:val="22"/>
                <w:szCs w:val="22"/>
                <w:color w:val="auto"/>
                <w:rFonts w:ascii="Century" w:hAnsi="Century" w:eastAsia="ＭＳ 明朝"/>
              </w:rPr>
              <w:t xml:space="preserve">全て</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7">
            <w:pPr>
              <w:rPr>
                <w:sz w:val="21"/>
                <w:szCs w:val="21"/>
              </w:rPr>
              <w:pStyle w:val="Normal"/>
              <w:jc w:val="both"/>
              <w:ind w:left="0" w:right="0"/>
              <w:spacing/>
            </w:pPr>
            <w:r>
              <w:rPr>
                <w:sz w:val="22"/>
                <w:szCs w:val="22"/>
                <w:color w:val="auto"/>
                <w:rFonts w:ascii="Century" w:hAnsi="Century" w:eastAsia="ＭＳ 明朝"/>
              </w:rPr>
              <w:t xml:space="preserve">(1)契約書（写し）</w:t>
            </w:r>
          </w:p>
        </w:tc>
      </w:tr>
      <w:tr>
        <w:trPr/>
        <w:tc>
          <w:tcPr>
            <w:tcW w:w="2628" w:type="dxa"/>
            <w:tcBorders>
              <w:top w:val="nil" w:sz="2" w:space="0" w:color="000000"/>
              <w:left w:val="single" w:sz="2" w:space="0" w:color="000000"/>
              <w:bottom w:val="nil" w:sz="2" w:space="0" w:color="000000"/>
              <w:right w:val="single" w:sz="2" w:space="0" w:color="000000"/>
              <w:insideH w:val="single" w:sz="2" w:space="0" w:color="000000"/>
              <w:insideV w:val="single" w:sz="2" w:space="0" w:color="000000"/>
            </w:tcBorders>
            <w:vAlign w:val="top"/>
          </w:tcPr>
          <w:p w14:paraId="00000008">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9">
            <w:pPr>
              <w:rPr>
                <w:sz w:val="21"/>
                <w:szCs w:val="21"/>
              </w:rPr>
              <w:pStyle w:val="Normal"/>
              <w:jc w:val="both"/>
              <w:ind w:left="0" w:right="0"/>
              <w:spacing/>
            </w:pPr>
            <w:r>
              <w:rPr>
                <w:sz w:val="22"/>
                <w:szCs w:val="22"/>
                <w:color w:val="auto"/>
                <w:rFonts w:ascii="Century" w:hAnsi="Century" w:eastAsia="ＭＳ 明朝"/>
              </w:rPr>
              <w:t xml:space="preserve">(2)領収書（写し）</w:t>
            </w:r>
          </w:p>
        </w:tc>
      </w:tr>
      <w:tr>
        <w:trPr/>
        <w:tc>
          <w:tcPr>
            <w:tcW w:w="2628" w:type="dxa"/>
            <w:tcBorders>
              <w:top w:val="nil"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b">
            <w:pPr>
              <w:rPr>
                <w:sz w:val="21"/>
                <w:szCs w:val="21"/>
              </w:rPr>
              <w:pStyle w:val="Normal"/>
              <w:jc w:val="both"/>
              <w:ind w:left="0" w:right="0"/>
              <w:spacing/>
            </w:pPr>
            <w:r>
              <w:rPr>
                <w:sz w:val="22"/>
                <w:szCs w:val="22"/>
                <w:color w:val="auto"/>
                <w:rFonts w:ascii="Century" w:hAnsi="Century" w:eastAsia="ＭＳ 明朝"/>
              </w:rPr>
              <w:t xml:space="preserve">(3)その他、補助対象事業の実施内容が適正である旨を確認でき　る書類等</w:t>
            </w:r>
          </w:p>
        </w:tc>
      </w:tr>
    </w:tbl>
    <w:p w14:paraId="0000000c">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2"/>
    <w:bookmarkStart w:id="3" w:name="LWG=adf3cfe4-3fad-43ef-b2ab-a9782ad7d594"/>
    <w:p w14:paraId="0000000d">
      <w:pPr>
        <w:rPr>
          <w:sz w:val="21"/>
          <w:szCs w:val="21"/>
        </w:rPr>
        <w:pStyle w:val="Normal"/>
        <w:jc w:val="both"/>
        <w:ind w:left="0" w:right="0"/>
        <w:spacing/>
      </w:pPr>
      <w:r>
        <w:rPr>
          <w:sz w:val="21"/>
          <w:szCs w:val="21"/>
          <w:color w:val="auto"/>
          <w:rFonts w:ascii="Century" w:hAnsi="Century" w:eastAsia="ＭＳ 明朝"/>
        </w:rPr>
        <w:t xml:space="preserve">【個別】</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2628" w:type="dxa"/>
        <w:gridCol w:w="6405" w:type="dxa"/>
      </w:tblGrid>
      <w:tr>
        <w:trPr/>
        <w:tc>
          <w:tcPr>
            <w:tcW w:w="262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e">
            <w:pPr>
              <w:rPr>
                <w:sz w:val="21"/>
                <w:szCs w:val="21"/>
              </w:rPr>
              <w:pStyle w:val="Normal"/>
              <w:jc w:val="both"/>
              <w:ind w:left="0" w:right="0"/>
              <w:spacing/>
            </w:pPr>
            <w:r>
              <w:rPr>
                <w:sz w:val="22"/>
                <w:szCs w:val="22"/>
                <w:color w:val="auto"/>
                <w:rFonts w:ascii="Century" w:hAnsi="Century" w:eastAsia="ＭＳ 明朝"/>
              </w:rPr>
              <w:t xml:space="preserve">補助対象事業</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0f">
            <w:pPr>
              <w:rPr>
                <w:sz w:val="21"/>
                <w:szCs w:val="21"/>
              </w:rPr>
              <w:pStyle w:val="Normal"/>
              <w:jc w:val="both"/>
              <w:ind w:left="0" w:right="0"/>
              <w:spacing/>
            </w:pPr>
            <w:r>
              <w:rPr>
                <w:sz w:val="22"/>
                <w:szCs w:val="22"/>
                <w:color w:val="auto"/>
                <w:rFonts w:ascii="Century" w:hAnsi="Century" w:eastAsia="ＭＳ 明朝"/>
              </w:rPr>
              <w:t xml:space="preserve">添付書類</w:t>
            </w:r>
          </w:p>
        </w:tc>
      </w:tr>
      <w:tr>
        <w:trPr/>
        <w:tc>
          <w:tcPr>
            <w:tcW w:w="262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10">
            <w:pPr>
              <w:rPr>
                <w:sz w:val="21"/>
                <w:szCs w:val="21"/>
              </w:rPr>
              <w:pStyle w:val="Normal"/>
              <w:jc w:val="both"/>
              <w:ind w:left="0" w:right="0"/>
              <w:spacing/>
            </w:pPr>
            <w:r>
              <w:rPr>
                <w:sz w:val="22"/>
                <w:szCs w:val="22"/>
                <w:color w:val="auto"/>
                <w:rFonts w:ascii="Century" w:hAnsi="Century" w:eastAsia="ＭＳ 明朝"/>
              </w:rPr>
              <w:t xml:space="preserve">1　補強設計</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11">
            <w:pPr>
              <w:rPr>
                <w:sz w:val="21"/>
                <w:szCs w:val="21"/>
              </w:rPr>
              <w:pStyle w:val="Normal"/>
              <w:jc w:val="both"/>
              <w:ind w:left="0" w:right="0"/>
              <w:spacing/>
            </w:pPr>
            <w:r>
              <w:rPr>
                <w:sz w:val="22"/>
                <w:szCs w:val="22"/>
                <w:color w:val="auto"/>
                <w:rFonts w:ascii="Century" w:hAnsi="Century" w:eastAsia="ＭＳ 明朝"/>
              </w:rPr>
              <w:t xml:space="preserve">【共通＋以下に掲げるもの】</w:t>
            </w:r>
          </w:p>
          <w:p w14:paraId="00000012">
            <w:pPr>
              <w:rPr>
                <w:sz w:val="21"/>
                <w:szCs w:val="21"/>
              </w:rPr>
              <w:pStyle w:val="Normal"/>
              <w:jc w:val="both"/>
              <w:ind w:left="0" w:right="0"/>
              <w:spacing/>
            </w:pPr>
            <w:r>
              <w:rPr>
                <w:sz w:val="22"/>
                <w:szCs w:val="22"/>
                <w:color w:val="auto"/>
                <w:rFonts w:ascii="Century" w:hAnsi="Century" w:eastAsia="ＭＳ 明朝"/>
              </w:rPr>
              <w:t xml:space="preserve">(1)耐震診断書（補強計画）</w:t>
            </w:r>
          </w:p>
          <w:p w14:paraId="00000013">
            <w:pPr>
              <w:rPr>
                <w:sz w:val="22"/>
                <w:szCs w:val="22"/>
              </w:rPr>
              <w:jc w:val="both"/>
              <w:ind w:left="210" w:right="0"/>
              <w:spacing/>
            </w:pPr>
            <w:r>
              <w:rPr>
                <w:sz w:val="22"/>
                <w:szCs w:val="22"/>
                <w:color w:val="auto"/>
                <w:rFonts w:ascii="Century" w:hAnsi="Century" w:eastAsia="ＭＳ 明朝"/>
              </w:rPr>
              <w:t xml:space="preserve">※診断見直しを実施した場合は、補強計画等の概要書に見直しの内容を明記すること</w:t>
            </w:r>
          </w:p>
          <w:p w14:paraId="00000014">
            <w:pPr>
              <w:rPr>
                <w:sz w:val="21"/>
                <w:szCs w:val="21"/>
              </w:rPr>
              <w:pStyle w:val="Normal"/>
              <w:jc w:val="both"/>
              <w:ind w:left="0" w:right="0"/>
              <w:spacing/>
            </w:pPr>
            <w:r>
              <w:rPr>
                <w:sz w:val="22"/>
                <w:szCs w:val="22"/>
                <w:color w:val="auto"/>
                <w:rFonts w:ascii="Century" w:hAnsi="Century" w:eastAsia="ＭＳ 明朝"/>
              </w:rPr>
              <w:t xml:space="preserve">(2)補強設計図書（</w:t>
            </w:r>
            <w:r>
              <w:rPr>
                <w:sz w:val="21"/>
                <w:szCs w:val="21"/>
                <w:color w:val="auto"/>
                <w:rFonts w:ascii="ＭＳ 明朝" w:hAnsi="ＭＳ 明朝" w:eastAsia="ＭＳ 明朝"/>
              </w:rPr>
              <w:t xml:space="preserve">補強設計の実施にあたり</w:t>
            </w:r>
            <w:r>
              <w:rPr>
                <w:sz w:val="22"/>
                <w:szCs w:val="22"/>
                <w:color w:val="auto"/>
                <w:rFonts w:ascii="Century" w:hAnsi="Century" w:eastAsia="ＭＳ 明朝"/>
              </w:rPr>
              <w:t xml:space="preserve">再調査した耐震診断の結果、Is（構造耐震指標）の値が0.6相当以上に向上した場合は耐震診断結果報告書）</w:t>
            </w:r>
          </w:p>
          <w:p w14:paraId="00000015">
            <w:pPr>
              <w:rPr>
                <w:sz w:val="21"/>
                <w:szCs w:val="21"/>
              </w:rPr>
              <w:pStyle w:val="Normal"/>
              <w:jc w:val="both"/>
              <w:ind w:left="0" w:right="0"/>
              <w:spacing/>
            </w:pPr>
            <w:r>
              <w:rPr>
                <w:sz w:val="22"/>
                <w:szCs w:val="22"/>
                <w:color w:val="auto"/>
                <w:rFonts w:ascii="Century" w:hAnsi="Century" w:eastAsia="ＭＳ 明朝"/>
              </w:rPr>
              <w:t xml:space="preserve">(3)区長が別に定める指定機関の評定書の写し</w:t>
            </w:r>
          </w:p>
        </w:tc>
      </w:tr>
      <w:tr>
        <w:trPr/>
        <w:tc>
          <w:tcPr>
            <w:tcW w:w="2628" w:type="dxa"/>
            <w:tcBorders>
              <w:top w:val="single" w:sz="2" w:space="0" w:color="000000"/>
              <w:left w:val="single" w:sz="2" w:space="0" w:color="000000"/>
              <w:bottom w:val="nil" w:sz="2" w:space="0" w:color="000000"/>
              <w:right w:val="single" w:sz="2" w:space="0" w:color="000000"/>
              <w:insideH w:val="single" w:sz="2" w:space="0" w:color="000000"/>
              <w:insideV w:val="single" w:sz="2" w:space="0" w:color="000000"/>
            </w:tcBorders>
            <w:vAlign w:val="top"/>
          </w:tcPr>
          <w:p w14:paraId="00000016">
            <w:pPr>
              <w:rPr>
                <w:sz w:val="21"/>
                <w:szCs w:val="21"/>
              </w:rPr>
              <w:pStyle w:val="Normal"/>
              <w:jc w:val="both"/>
              <w:ind w:left="0" w:right="0"/>
              <w:spacing/>
            </w:pPr>
            <w:r>
              <w:rPr>
                <w:sz w:val="22"/>
                <w:szCs w:val="22"/>
                <w:color w:val="auto"/>
                <w:rFonts w:ascii="Century" w:hAnsi="Century" w:eastAsia="ＭＳ 明朝"/>
              </w:rPr>
              <w:t xml:space="preserve">2　耐震改修工事</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17">
            <w:pPr>
              <w:rPr>
                <w:sz w:val="21"/>
                <w:szCs w:val="21"/>
              </w:rPr>
              <w:pStyle w:val="Normal"/>
              <w:jc w:val="both"/>
              <w:ind w:left="0" w:right="0"/>
              <w:spacing/>
            </w:pPr>
            <w:r>
              <w:rPr>
                <w:sz w:val="22"/>
                <w:szCs w:val="22"/>
                <w:color w:val="auto"/>
                <w:rFonts w:ascii="Century" w:hAnsi="Century" w:eastAsia="ＭＳ 明朝"/>
              </w:rPr>
              <w:t xml:space="preserve">【共通＋以下に掲げるもの】</w:t>
            </w:r>
          </w:p>
        </w:tc>
      </w:tr>
      <w:tr>
        <w:trPr/>
        <w:tc>
          <w:tcPr>
            <w:tcW w:w="2628" w:type="dxa"/>
            <w:tcBorders>
              <w:top w:val="nil"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18">
            <w:pPr>
              <w:rPr>
                <w:sz w:val="21"/>
                <w:szCs w:val="21"/>
              </w:rPr>
              <w:pStyle w:val="Normal"/>
              <w:jc w:val="both"/>
              <w:ind w:left="0" w:right="0"/>
              <w:spacing/>
            </w:pPr>
            <w:r>
              <w:rPr>
                <w:sz w:val="22"/>
                <w:szCs w:val="22"/>
                <w:color w:val="auto"/>
                <w:rFonts w:ascii="Century" w:hAnsi="Century" w:eastAsia="ＭＳ 明朝"/>
              </w:rPr>
              <w:t xml:space="preserve">3　段階的改修工事</w:t>
            </w:r>
          </w:p>
          <w:p w14:paraId="00000019">
            <w:pPr>
              <w:rPr>
                <w:sz w:val="21"/>
                <w:szCs w:val="21"/>
              </w:rPr>
              <w:pStyle w:val="Normal"/>
              <w:jc w:val="both"/>
              <w:ind w:left="0" w:right="0"/>
              <w:spacing/>
            </w:pPr>
            <w:r>
              <w:rPr>
                <w:sz w:val="22"/>
                <w:szCs w:val="22"/>
                <w:color w:val="auto"/>
                <w:rFonts w:ascii="Century" w:hAnsi="Century" w:eastAsia="ＭＳ 明朝"/>
              </w:rPr>
              <w:t xml:space="preserve">4　除却</w:t>
            </w:r>
          </w:p>
          <w:p w14:paraId="0000001a">
            <w:pPr>
              <w:rPr>
                <w:sz w:val="21"/>
                <w:szCs w:val="21"/>
              </w:rPr>
              <w:pStyle w:val="Normal"/>
              <w:jc w:val="both"/>
              <w:ind w:left="0" w:right="0"/>
              <w:spacing/>
            </w:pPr>
            <w:r>
              <w:rPr>
                <w:sz w:val="22"/>
                <w:szCs w:val="22"/>
                <w:color w:val="auto"/>
                <w:rFonts w:ascii="Century" w:hAnsi="Century" w:eastAsia="ＭＳ 明朝"/>
              </w:rPr>
              <w:t xml:space="preserve">5　建替え</w:t>
            </w:r>
          </w:p>
        </w:tc>
        <w:tc>
          <w:tcPr>
            <w:tcW w:w="64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1b">
            <w:pPr>
              <w:rPr>
                <w:sz w:val="21"/>
                <w:szCs w:val="21"/>
              </w:rPr>
              <w:pStyle w:val="Normal"/>
              <w:jc w:val="both"/>
              <w:ind w:left="0" w:right="0"/>
              <w:spacing/>
            </w:pPr>
            <w:r>
              <w:rPr>
                <w:sz w:val="22"/>
                <w:szCs w:val="22"/>
                <w:color w:val="auto"/>
                <w:rFonts w:ascii="Century" w:hAnsi="Century" w:eastAsia="ＭＳ 明朝"/>
              </w:rPr>
              <w:t xml:space="preserve">(1)工事全体写真（着手前、完了時）</w:t>
            </w:r>
          </w:p>
          <w:p w14:paraId="0000001c">
            <w:pPr>
              <w:rPr>
                <w:sz w:val="21"/>
                <w:szCs w:val="21"/>
              </w:rPr>
              <w:pStyle w:val="Normal"/>
              <w:jc w:val="both"/>
              <w:ind w:left="0" w:right="0"/>
              <w:spacing/>
            </w:pPr>
            <w:r>
              <w:rPr>
                <w:sz w:val="22"/>
                <w:szCs w:val="22"/>
                <w:color w:val="auto"/>
                <w:rFonts w:ascii="Century" w:hAnsi="Century" w:eastAsia="ＭＳ 明朝"/>
              </w:rPr>
              <w:t xml:space="preserve">(2)工事状況写真</w:t>
            </w:r>
          </w:p>
          <w:p w14:paraId="0000001d">
            <w:pPr>
              <w:rPr>
                <w:sz w:val="21"/>
                <w:szCs w:val="21"/>
              </w:rPr>
              <w:pStyle w:val="Normal"/>
              <w:jc w:val="both"/>
              <w:ind w:left="0" w:right="0"/>
              <w:spacing/>
            </w:pPr>
            <w:r>
              <w:rPr>
                <w:sz w:val="22"/>
                <w:szCs w:val="22"/>
                <w:color w:val="auto"/>
                <w:rFonts w:ascii="Century" w:hAnsi="Century" w:eastAsia="ＭＳ 明朝"/>
              </w:rPr>
              <w:t xml:space="preserve">　（着手前、工事中、完了時）</w:t>
            </w:r>
          </w:p>
          <w:p w14:paraId="0000001e">
            <w:pPr>
              <w:rPr>
                <w:sz w:val="21"/>
                <w:szCs w:val="21"/>
              </w:rPr>
              <w:pStyle w:val="Normal"/>
              <w:jc w:val="both"/>
              <w:ind w:left="0" w:right="0"/>
              <w:spacing/>
            </w:pPr>
            <w:r>
              <w:rPr>
                <w:sz w:val="22"/>
                <w:szCs w:val="22"/>
                <w:color w:val="auto"/>
                <w:rFonts w:ascii="Century" w:hAnsi="Century" w:eastAsia="ＭＳ 明朝"/>
              </w:rPr>
              <w:t xml:space="preserve">(3)東京都耐震化工事中掲示物掲示制度要綱（平成28年４月１日付27都市建企第1203号）</w:t>
            </w:r>
            <w:r>
              <w:rPr>
                <w:sz w:val="22"/>
                <w:szCs w:val="22"/>
                <w:color w:val="auto"/>
                <w:rFonts w:ascii="Century" w:hAnsi="Century" w:eastAsia="ＭＳ 明朝"/>
              </w:rPr>
              <w:t xml:space="preserve">第３条</w:t>
            </w:r>
            <w:r>
              <w:rPr>
                <w:sz w:val="22"/>
                <w:szCs w:val="22"/>
                <w:color w:val="auto"/>
                <w:rFonts w:ascii="Century" w:hAnsi="Century" w:eastAsia="ＭＳ 明朝"/>
              </w:rPr>
              <w:t xml:space="preserve">の規定に基づく耐震化工事中掲示物が工事中の現場に掲示されていることが確認できる写真。ただし、工事の安全上、環境上、日程上などの状況により掲示が容易でない場合はその理由書。</w:t>
            </w:r>
          </w:p>
        </w:tc>
      </w:tr>
    </w:tbl>
    <w:p w14:paraId="0000001f">
      <w:pPr>
        <w:rPr>
          <w:sz w:val="22"/>
          <w:szCs w:val="22"/>
          <w:rFonts w:ascii="Century" w:hAnsi="Century" w:eastAsia="ＭＳ 明朝"/>
        </w:rPr>
        <w:pStyle w:val="Normal"/>
        <w:jc w:val="both"/>
        <w:ind w:left="0" w:right="0" w:hanging="208"/>
        <w:spacing/>
      </w:pPr>
      <w:r>
        <w:rPr>
          <w:sz w:val="22"/>
          <w:szCs w:val="22"/>
          <w:color w:val="auto"/>
          <w:rFonts w:ascii="Century" w:hAnsi="Century" w:eastAsia="ＭＳ 明朝"/>
        </w:rPr>
        <w:t xml:space="preserve"/>
      </w:r>
    </w:p>
    <w:bookmarkEnd w:id="3"/>
    <w:sectPr>
      <w:pgSz w:w="11906" w:h="16838"/>
      <w:pgMar w:top="1440" w:right="1418" w:bottom="900" w:left="1701" w:header="851" w:footer="0" w:gutter="0"/>
      <w:cols w:space="425" w:num="1"/>
      <w:docGrid w:type="lines" w:linePitch="360" w:charSpace="0"/>
      <w:headerReference w:type="default" r:id="rIdHead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20">
    <w:pPr>
      <w:rPr>
        <w:sz w:val="24"/>
        <w:szCs w:val="24"/>
        <w:color w:val="FF0000"/>
        <w:rFonts w:ascii="Century" w:hAnsi="Century" w:eastAsia="ＭＳ 明朝"/>
      </w:rPr>
      <w:pStyle w:val="Header"/>
      <w:jc w:val="center"/>
      <w:ind w:left="0" w:right="0"/>
      <w:spacing/>
    </w:pPr>
    <w:r>
      <w:rPr>
        <w:sz w:val="24"/>
        <w:szCs w:val="24"/>
        <w:color w:val="FF0000"/>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aba67559-51d2-4bd1-be73-ee3e833f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character" w:styleId="Style17">
    <w:name w:val="吹き出し (文字)"/>
    <w:rPr>
      <w:sz w:val="18"/>
      <w:szCs w:val="18"/>
      <w:rFonts w:ascii="游ゴシック Light" w:hAnsi="游ゴシック Light" w:cs="Times New Roman" w:eastAsia="游ゴシック Light"/>
    </w:rPr>
    <w:pPr>
      <w:rPr/>
    </w:pPr>
    <w:qFormat/>
  </w:style>
  <w:style w:type="paragraph" w:styleId="Style18">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9">
    <w:name w:val="索引"/>
    <w:rPr>
      <w:rFonts w:ascii="Noto Sans" w:hAnsi="Noto Sans" w:cs="Noto Sans CJK JP" w:eastAsia="Noto Sans"/>
    </w:rPr>
    <w:pPr>
      <w:rPr/>
    </w:pPr>
    <w:qFormat/>
    <w:basedOn w:val="Normal"/>
  </w:style>
  <w:style w:type="paragraph" w:styleId="Style20">
    <w:name w:val="記"/>
    <w:rPr/>
    <w:pPr>
      <w:rPr/>
      <w:jc w:val="center"/>
    </w:pPr>
    <w:qFormat/>
    <w:basedOn w:val="Normal"/>
  </w:style>
  <w:style w:type="paragraph" w:styleId="Salutation">
    <w:name w:val="Salutation"/>
    <w:rPr/>
    <w:pPr>
      <w:rPr/>
      <w:jc w:val="end"/>
    </w:pPr>
    <w:qFormat/>
    <w:basedOn w:val="Normal"/>
  </w:style>
  <w:style w:type="paragraph" w:styleId="Style21">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2">
    <w:name w:val="吹き出し"/>
    <w:rPr>
      <w:sz w:val="18"/>
      <w:szCs w:val="18"/>
      <w:rFonts w:ascii="游ゴシック Light" w:hAnsi="游ゴシック Light" w:cs="Times New Roman" w:eastAsia="游ゴシック Light"/>
    </w:rPr>
    <w:pPr>
      <w:rPr/>
    </w:pPr>
    <w:qFormat/>
    <w:basedOn w:val="Normal"/>
  </w:style>
  <w:style w:type="paragraph" w:styleId="Style23">
    <w:name w:val="表の内容"/>
    <w:rPr/>
    <w:pPr>
      <w:rPr/>
    </w:pPr>
    <w:qFormat/>
    <w:basedOn w:val="Normal"/>
  </w:style>
  <w:style w:type="paragraph" w:styleId="Style24">
    <w:name w:val="表の見出し"/>
    <w:rPr/>
    <w:pPr>
      <w:rPr/>
      <w:jc w:val="center"/>
    </w:pPr>
    <w:qFormat/>
    <w:basedOn w:val="Style23"/>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mFiYTY3NTU5LTUxZDItNGJkMS1iZTczLWVlM2U4MzNmYTU5OCIsInByb2plY3RJZCI6ImYyOWJlZTE3LTdkZGUtNDczZC05MmE0LTk5MmI3NTUxZDQ4NiIsInNhdmVkQnkiOiJtaW5rYW50ZWlhbkBjaXR5LnNoaW5qdWt1LmxnLmpwIiwic2F2ZWRBdCI6MTc3MzEyMTg5Nzg0O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{"items":[{"documentId":"aba67559-51d2-4bd1-be73-ee3e833fa598","projectId":"f29bee17-7dde-473d-92a4-992b7551d486","savedBy":"minkanteian@city.shinjuku.lg.jp","savedAt":1773121897849}]}</vt:lpwstr>
  </property>
</Properties>
</file>