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6F" w:rsidRDefault="009F136F" w:rsidP="009F136F">
      <w:pPr>
        <w:jc w:val="center"/>
        <w:rPr>
          <w:rFonts w:ascii="游ゴシック" w:eastAsia="游ゴシック" w:hAnsi="游ゴシック"/>
          <w:b/>
          <w:sz w:val="28"/>
        </w:rPr>
      </w:pPr>
      <w:r w:rsidRPr="00D516B4">
        <w:rPr>
          <w:rFonts w:ascii="游ゴシック" w:eastAsia="游ゴシック" w:hAnsi="游ゴシック" w:hint="eastAsia"/>
          <w:b/>
          <w:sz w:val="28"/>
        </w:rPr>
        <w:t>長期優良住宅の普及の促進に関する法律</w:t>
      </w:r>
    </w:p>
    <w:p w:rsidR="00F56189" w:rsidRPr="00D516B4" w:rsidRDefault="00F56189" w:rsidP="009F136F">
      <w:pPr>
        <w:jc w:val="center"/>
        <w:rPr>
          <w:rFonts w:ascii="游ゴシック" w:eastAsia="游ゴシック" w:hAnsi="游ゴシック"/>
          <w:b/>
          <w:sz w:val="28"/>
        </w:rPr>
      </w:pPr>
      <w:r>
        <w:rPr>
          <w:rFonts w:ascii="游ゴシック" w:eastAsia="游ゴシック" w:hAnsi="游ゴシック" w:hint="eastAsia"/>
          <w:b/>
          <w:sz w:val="28"/>
        </w:rPr>
        <w:t>チェックシート</w:t>
      </w:r>
    </w:p>
    <w:p w:rsidR="009F136F" w:rsidRPr="00D516B4" w:rsidRDefault="009F136F" w:rsidP="009F136F">
      <w:pPr>
        <w:jc w:val="left"/>
        <w:rPr>
          <w:rFonts w:ascii="游ゴシック" w:eastAsia="游ゴシック" w:hAnsi="游ゴシック"/>
        </w:rPr>
      </w:pPr>
    </w:p>
    <w:p w:rsidR="006C30C8" w:rsidRPr="00D516B4" w:rsidRDefault="006C30C8" w:rsidP="009F136F">
      <w:pPr>
        <w:jc w:val="left"/>
        <w:rPr>
          <w:rFonts w:ascii="游ゴシック" w:eastAsia="游ゴシック" w:hAnsi="游ゴシック"/>
        </w:rPr>
      </w:pPr>
    </w:p>
    <w:p w:rsidR="009F136F" w:rsidRPr="00D516B4" w:rsidRDefault="009F136F" w:rsidP="009F136F">
      <w:pPr>
        <w:jc w:val="left"/>
        <w:rPr>
          <w:rFonts w:ascii="游ゴシック" w:eastAsia="游ゴシック" w:hAnsi="游ゴシック"/>
        </w:rPr>
      </w:pPr>
      <w:r w:rsidRPr="00D516B4">
        <w:rPr>
          <w:rFonts w:ascii="游ゴシック" w:eastAsia="游ゴシック" w:hAnsi="游ゴシック" w:hint="eastAsia"/>
        </w:rPr>
        <w:t>計画敷地　地名地番：</w:t>
      </w:r>
    </w:p>
    <w:p w:rsidR="006C30C8" w:rsidRPr="006C30C8" w:rsidRDefault="009F136F" w:rsidP="00F56189">
      <w:pPr>
        <w:jc w:val="left"/>
        <w:rPr>
          <w:rFonts w:ascii="游ゴシック" w:eastAsia="游ゴシック" w:hAnsi="游ゴシック"/>
        </w:rPr>
      </w:pPr>
      <w:r w:rsidRPr="00D516B4">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262662</wp:posOffset>
                </wp:positionV>
                <wp:extent cx="5400881"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4008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BC9EC"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7pt" to="425.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" strokecolor="black [3200]" strokeweight="1pt">
                <v:stroke joinstyle="miter"/>
                <w10:wrap anchorx="margin"/>
              </v:line>
            </w:pict>
          </mc:Fallback>
        </mc:AlternateContent>
      </w:r>
      <w:r w:rsidR="006C30C8" w:rsidRPr="00D516B4">
        <w:rPr>
          <w:rFonts w:ascii="游ゴシック" w:eastAsia="游ゴシック" w:hAnsi="游ゴシック" w:hint="eastAsia"/>
        </w:rPr>
        <w:t xml:space="preserve">　</w:t>
      </w:r>
      <w:r w:rsidRPr="00D516B4">
        <w:rPr>
          <w:rFonts w:ascii="游ゴシック" w:eastAsia="游ゴシック" w:hAnsi="游ゴシック" w:hint="eastAsia"/>
        </w:rPr>
        <w:t xml:space="preserve">　　　　住居表示：</w:t>
      </w:r>
    </w:p>
    <w:p w:rsidR="00F56189" w:rsidRDefault="00F56189" w:rsidP="006C30C8">
      <w:pPr>
        <w:rPr>
          <w:rFonts w:ascii="游ゴシック" w:eastAsia="游ゴシック" w:hAnsi="游ゴシック"/>
        </w:rPr>
      </w:pPr>
    </w:p>
    <w:tbl>
      <w:tblPr>
        <w:tblStyle w:val="a5"/>
        <w:tblW w:w="0" w:type="auto"/>
        <w:tblLook w:val="04A0" w:firstRow="1" w:lastRow="0" w:firstColumn="1" w:lastColumn="0" w:noHBand="0" w:noVBand="1"/>
      </w:tblPr>
      <w:tblGrid>
        <w:gridCol w:w="2831"/>
        <w:gridCol w:w="3118"/>
        <w:gridCol w:w="2545"/>
      </w:tblGrid>
      <w:tr w:rsidR="00F56189" w:rsidTr="00F56189">
        <w:tc>
          <w:tcPr>
            <w:tcW w:w="2831" w:type="dxa"/>
            <w:tcBorders>
              <w:bottom w:val="single" w:sz="4" w:space="0" w:color="auto"/>
            </w:tcBorders>
            <w:shd w:val="clear" w:color="auto" w:fill="D9D9D9" w:themeFill="background1" w:themeFillShade="D9"/>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根拠法令</w:t>
            </w:r>
          </w:p>
        </w:tc>
        <w:tc>
          <w:tcPr>
            <w:tcW w:w="3118" w:type="dxa"/>
            <w:tcBorders>
              <w:bottom w:val="single" w:sz="4" w:space="0" w:color="auto"/>
            </w:tcBorders>
            <w:shd w:val="clear" w:color="auto" w:fill="D9D9D9" w:themeFill="background1" w:themeFillShade="D9"/>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地域・地区等</w:t>
            </w:r>
          </w:p>
        </w:tc>
        <w:tc>
          <w:tcPr>
            <w:tcW w:w="2545" w:type="dxa"/>
            <w:tcBorders>
              <w:bottom w:val="single" w:sz="4" w:space="0" w:color="auto"/>
            </w:tcBorders>
            <w:shd w:val="clear" w:color="auto" w:fill="D9D9D9" w:themeFill="background1" w:themeFillShade="D9"/>
          </w:tcPr>
          <w:p w:rsidR="00F56189" w:rsidRDefault="00F56189" w:rsidP="006C30C8">
            <w:pPr>
              <w:rPr>
                <w:rFonts w:ascii="游ゴシック" w:eastAsia="游ゴシック" w:hAnsi="游ゴシック"/>
              </w:rPr>
            </w:pPr>
            <w:r>
              <w:rPr>
                <w:rFonts w:ascii="游ゴシック" w:eastAsia="游ゴシック" w:hAnsi="游ゴシック" w:hint="eastAsia"/>
              </w:rPr>
              <w:t>計画敷地（該当項目に〇）</w:t>
            </w:r>
          </w:p>
        </w:tc>
      </w:tr>
      <w:tr w:rsidR="00F56189" w:rsidTr="00F56189">
        <w:tc>
          <w:tcPr>
            <w:tcW w:w="2831" w:type="dxa"/>
            <w:tcBorders>
              <w:tl2br w:val="nil"/>
              <w:tr2bl w:val="single" w:sz="4" w:space="0" w:color="auto"/>
            </w:tcBorders>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地すべり等防止法</w:t>
            </w:r>
          </w:p>
          <w:p w:rsidR="00F56189" w:rsidRDefault="00F56189" w:rsidP="00F56189">
            <w:pPr>
              <w:jc w:val="center"/>
              <w:rPr>
                <w:rFonts w:ascii="游ゴシック" w:eastAsia="游ゴシック" w:hAnsi="游ゴシック"/>
              </w:rPr>
            </w:pPr>
            <w:r>
              <w:rPr>
                <w:rFonts w:ascii="游ゴシック" w:eastAsia="游ゴシック" w:hAnsi="游ゴシック" w:hint="eastAsia"/>
              </w:rPr>
              <w:t>第3条第1項</w:t>
            </w:r>
          </w:p>
        </w:tc>
        <w:tc>
          <w:tcPr>
            <w:tcW w:w="3118" w:type="dxa"/>
            <w:tcBorders>
              <w:tl2br w:val="nil"/>
              <w:tr2bl w:val="single" w:sz="4" w:space="0" w:color="auto"/>
            </w:tcBorders>
            <w:vAlign w:val="center"/>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地すべり防止区域</w:t>
            </w:r>
          </w:p>
        </w:tc>
        <w:tc>
          <w:tcPr>
            <w:tcW w:w="2545" w:type="dxa"/>
            <w:tcBorders>
              <w:tl2br w:val="nil"/>
              <w:tr2bl w:val="single" w:sz="4" w:space="0" w:color="auto"/>
            </w:tcBorders>
            <w:vAlign w:val="center"/>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区域内・区域外</w:t>
            </w:r>
          </w:p>
        </w:tc>
      </w:tr>
      <w:tr w:rsidR="00F56189" w:rsidTr="00F56189">
        <w:tc>
          <w:tcPr>
            <w:tcW w:w="2831" w:type="dxa"/>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急傾斜地の崩壊による災害の防止に関する法律第3条第1項</w:t>
            </w:r>
          </w:p>
        </w:tc>
        <w:tc>
          <w:tcPr>
            <w:tcW w:w="3118" w:type="dxa"/>
            <w:vAlign w:val="center"/>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急傾斜地崩壊危険区域</w:t>
            </w:r>
          </w:p>
        </w:tc>
        <w:tc>
          <w:tcPr>
            <w:tcW w:w="2545" w:type="dxa"/>
            <w:vAlign w:val="center"/>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区域内・区域外</w:t>
            </w:r>
          </w:p>
        </w:tc>
      </w:tr>
      <w:tr w:rsidR="00F56189" w:rsidTr="00F56189">
        <w:tc>
          <w:tcPr>
            <w:tcW w:w="2831" w:type="dxa"/>
            <w:tcBorders>
              <w:bottom w:val="single" w:sz="4" w:space="0" w:color="auto"/>
            </w:tcBorders>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土砂災害警戒区域等における土砂災害防止対策の推進に関する法律第9条第1項</w:t>
            </w:r>
          </w:p>
        </w:tc>
        <w:tc>
          <w:tcPr>
            <w:tcW w:w="3118" w:type="dxa"/>
            <w:tcBorders>
              <w:bottom w:val="single" w:sz="4" w:space="0" w:color="auto"/>
            </w:tcBorders>
            <w:vAlign w:val="center"/>
          </w:tcPr>
          <w:p w:rsidR="00F56189" w:rsidRDefault="008D6E49" w:rsidP="00F56189">
            <w:pPr>
              <w:jc w:val="center"/>
              <w:rPr>
                <w:rFonts w:ascii="游ゴシック" w:eastAsia="游ゴシック" w:hAnsi="游ゴシック"/>
              </w:rPr>
            </w:pPr>
            <w:r>
              <w:rPr>
                <w:rFonts w:ascii="游ゴシック" w:eastAsia="游ゴシック" w:hAnsi="游ゴシック" w:hint="eastAsia"/>
              </w:rPr>
              <w:t>土砂災害特別警戒</w:t>
            </w:r>
            <w:r w:rsidR="00F56189">
              <w:rPr>
                <w:rFonts w:ascii="游ゴシック" w:eastAsia="游ゴシック" w:hAnsi="游ゴシック" w:hint="eastAsia"/>
              </w:rPr>
              <w:t>区域</w:t>
            </w:r>
          </w:p>
        </w:tc>
        <w:tc>
          <w:tcPr>
            <w:tcW w:w="2545" w:type="dxa"/>
            <w:tcBorders>
              <w:bottom w:val="single" w:sz="4" w:space="0" w:color="auto"/>
            </w:tcBorders>
            <w:vAlign w:val="center"/>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区域内・区域外</w:t>
            </w:r>
          </w:p>
        </w:tc>
      </w:tr>
      <w:tr w:rsidR="00F56189" w:rsidTr="00F56189">
        <w:tc>
          <w:tcPr>
            <w:tcW w:w="2831" w:type="dxa"/>
            <w:tcBorders>
              <w:tl2br w:val="nil"/>
              <w:tr2bl w:val="single" w:sz="4" w:space="0" w:color="auto"/>
            </w:tcBorders>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建築基準法第39条第1項</w:t>
            </w:r>
          </w:p>
        </w:tc>
        <w:tc>
          <w:tcPr>
            <w:tcW w:w="3118" w:type="dxa"/>
            <w:tcBorders>
              <w:tl2br w:val="nil"/>
              <w:tr2bl w:val="single" w:sz="4" w:space="0" w:color="auto"/>
            </w:tcBorders>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災害危険区域</w:t>
            </w:r>
          </w:p>
        </w:tc>
        <w:tc>
          <w:tcPr>
            <w:tcW w:w="2545" w:type="dxa"/>
            <w:tcBorders>
              <w:tl2br w:val="nil"/>
              <w:tr2bl w:val="single" w:sz="4" w:space="0" w:color="auto"/>
            </w:tcBorders>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区域内・区域外</w:t>
            </w:r>
          </w:p>
        </w:tc>
      </w:tr>
      <w:tr w:rsidR="00F56189" w:rsidTr="00F56189">
        <w:tc>
          <w:tcPr>
            <w:tcW w:w="2831" w:type="dxa"/>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都市計画法第11条</w:t>
            </w:r>
          </w:p>
        </w:tc>
        <w:tc>
          <w:tcPr>
            <w:tcW w:w="3118" w:type="dxa"/>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都市計画道路、都市計画公園</w:t>
            </w:r>
          </w:p>
        </w:tc>
        <w:tc>
          <w:tcPr>
            <w:tcW w:w="2545" w:type="dxa"/>
          </w:tcPr>
          <w:p w:rsidR="00F56189" w:rsidRDefault="00F56189" w:rsidP="00F56189">
            <w:pPr>
              <w:jc w:val="center"/>
              <w:rPr>
                <w:rFonts w:ascii="游ゴシック" w:eastAsia="游ゴシック" w:hAnsi="游ゴシック"/>
              </w:rPr>
            </w:pPr>
            <w:r>
              <w:rPr>
                <w:rFonts w:ascii="游ゴシック" w:eastAsia="游ゴシック" w:hAnsi="游ゴシック" w:hint="eastAsia"/>
              </w:rPr>
              <w:t>区域内・区域外</w:t>
            </w:r>
          </w:p>
        </w:tc>
      </w:tr>
    </w:tbl>
    <w:p w:rsidR="00F56189" w:rsidRDefault="00F56189" w:rsidP="006C30C8">
      <w:pPr>
        <w:rPr>
          <w:rFonts w:ascii="游ゴシック" w:eastAsia="游ゴシック" w:hAnsi="游ゴシック"/>
        </w:rPr>
      </w:pPr>
    </w:p>
    <w:p w:rsidR="006C30C8" w:rsidRDefault="00986058" w:rsidP="006C30C8">
      <w:pPr>
        <w:rPr>
          <w:rFonts w:ascii="游ゴシック" w:eastAsia="游ゴシック" w:hAnsi="游ゴシック"/>
        </w:rPr>
      </w:pPr>
      <w:r w:rsidRPr="00986058">
        <w:rPr>
          <w:rFonts w:ascii="游ゴシック" w:eastAsia="游ゴシック" w:hAnsi="游ゴシック" w:hint="eastAsia"/>
        </w:rPr>
        <w:t>※新宿区内に地すべり防止区域及び災害危険区域の指定はありません</w:t>
      </w:r>
      <w:r w:rsidR="008D6E49">
        <w:rPr>
          <w:rFonts w:ascii="游ゴシック" w:eastAsia="游ゴシック" w:hAnsi="游ゴシック" w:hint="eastAsia"/>
        </w:rPr>
        <w:t>。</w:t>
      </w:r>
      <w:bookmarkStart w:id="0" w:name="_GoBack"/>
      <w:bookmarkEnd w:id="0"/>
    </w:p>
    <w:p w:rsidR="006C30C8" w:rsidRDefault="006C30C8" w:rsidP="006C30C8">
      <w:pPr>
        <w:rPr>
          <w:rFonts w:ascii="游ゴシック" w:eastAsia="游ゴシック" w:hAnsi="游ゴシック"/>
        </w:rPr>
      </w:pPr>
    </w:p>
    <w:p w:rsidR="006C30C8" w:rsidRPr="006C30C8" w:rsidRDefault="006C30C8" w:rsidP="006C30C8">
      <w:pPr>
        <w:rPr>
          <w:rFonts w:ascii="游ゴシック" w:eastAsia="游ゴシック" w:hAnsi="游ゴシック"/>
        </w:rPr>
      </w:pPr>
    </w:p>
    <w:p w:rsidR="006C30C8" w:rsidRPr="006C30C8" w:rsidRDefault="006C30C8" w:rsidP="006C30C8">
      <w:pPr>
        <w:rPr>
          <w:rFonts w:ascii="游ゴシック" w:eastAsia="游ゴシック" w:hAnsi="游ゴシック"/>
          <w:bdr w:val="single" w:sz="4" w:space="0" w:color="auto"/>
        </w:rPr>
      </w:pPr>
      <w:r w:rsidRPr="006C30C8">
        <w:rPr>
          <w:rFonts w:ascii="游ゴシック" w:eastAsia="游ゴシック" w:hAnsi="游ゴシック" w:hint="eastAsia"/>
          <w:bdr w:val="single" w:sz="4" w:space="0" w:color="auto"/>
        </w:rPr>
        <w:t>特記事項</w:t>
      </w:r>
    </w:p>
    <w:p w:rsidR="00D516B4" w:rsidRDefault="00986058" w:rsidP="006C30C8">
      <w:pPr>
        <w:rPr>
          <w:rFonts w:ascii="游ゴシック" w:eastAsia="游ゴシック" w:hAnsi="游ゴシック"/>
        </w:rPr>
      </w:pPr>
      <w:r>
        <w:rPr>
          <w:rFonts w:ascii="游ゴシック" w:eastAsia="游ゴシック" w:hAnsi="游ゴシック" w:hint="eastAsia"/>
        </w:rPr>
        <w:t>○</w:t>
      </w:r>
      <w:r w:rsidR="006C30C8" w:rsidRPr="006C30C8">
        <w:rPr>
          <w:rFonts w:ascii="游ゴシック" w:eastAsia="游ゴシック" w:hAnsi="游ゴシック" w:hint="eastAsia"/>
        </w:rPr>
        <w:t>認定申請対象</w:t>
      </w:r>
      <w:r w:rsidR="006C30C8" w:rsidRPr="005D4791">
        <w:rPr>
          <w:rFonts w:ascii="游ゴシック" w:eastAsia="游ゴシック" w:hAnsi="游ゴシック" w:hint="eastAsia"/>
          <w:u w:val="single"/>
        </w:rPr>
        <w:t>住宅</w:t>
      </w:r>
      <w:r w:rsidR="006C30C8" w:rsidRPr="006C30C8">
        <w:rPr>
          <w:rFonts w:ascii="游ゴシック" w:eastAsia="游ゴシック" w:hAnsi="游ゴシック" w:hint="eastAsia"/>
        </w:rPr>
        <w:t>が区域内にある場合は、</w:t>
      </w:r>
      <w:r w:rsidR="00742073" w:rsidRPr="00742073">
        <w:rPr>
          <w:rFonts w:ascii="游ゴシック" w:eastAsia="游ゴシック" w:hAnsi="游ゴシック" w:hint="eastAsia"/>
        </w:rPr>
        <w:t>区域の解除が確実に見込まれている場合等を</w:t>
      </w:r>
      <w:r w:rsidR="00D516B4">
        <w:rPr>
          <w:rFonts w:ascii="游ゴシック" w:eastAsia="游ゴシック" w:hAnsi="游ゴシック" w:hint="eastAsia"/>
        </w:rPr>
        <w:t xml:space="preserve">　</w:t>
      </w:r>
    </w:p>
    <w:p w:rsidR="00742073" w:rsidRDefault="00D516B4" w:rsidP="006C30C8">
      <w:pPr>
        <w:rPr>
          <w:rFonts w:ascii="游ゴシック" w:eastAsia="游ゴシック" w:hAnsi="游ゴシック"/>
        </w:rPr>
      </w:pPr>
      <w:r>
        <w:rPr>
          <w:rFonts w:ascii="游ゴシック" w:eastAsia="游ゴシック" w:hAnsi="游ゴシック" w:hint="eastAsia"/>
        </w:rPr>
        <w:t xml:space="preserve">　</w:t>
      </w:r>
      <w:r w:rsidR="00742073" w:rsidRPr="00742073">
        <w:rPr>
          <w:rFonts w:ascii="游ゴシック" w:eastAsia="游ゴシック" w:hAnsi="游ゴシック" w:hint="eastAsia"/>
        </w:rPr>
        <w:t>除き、認定できません。</w:t>
      </w:r>
    </w:p>
    <w:p w:rsidR="006C30C8" w:rsidRPr="006C30C8" w:rsidRDefault="00986058" w:rsidP="006C30C8">
      <w:pPr>
        <w:rPr>
          <w:rFonts w:ascii="游ゴシック" w:eastAsia="游ゴシック" w:hAnsi="游ゴシック"/>
        </w:rPr>
      </w:pPr>
      <w:r>
        <w:rPr>
          <w:rFonts w:ascii="游ゴシック" w:eastAsia="游ゴシック" w:hAnsi="游ゴシック" w:hint="eastAsia"/>
        </w:rPr>
        <w:t>○</w:t>
      </w:r>
      <w:r w:rsidR="006C30C8" w:rsidRPr="006C30C8">
        <w:rPr>
          <w:rFonts w:ascii="游ゴシック" w:eastAsia="游ゴシック" w:hAnsi="游ゴシック" w:hint="eastAsia"/>
        </w:rPr>
        <w:t>認定申請対象</w:t>
      </w:r>
      <w:r w:rsidR="006C30C8" w:rsidRPr="005D4791">
        <w:rPr>
          <w:rFonts w:ascii="游ゴシック" w:eastAsia="游ゴシック" w:hAnsi="游ゴシック" w:hint="eastAsia"/>
          <w:u w:val="single"/>
        </w:rPr>
        <w:t>敷地</w:t>
      </w:r>
      <w:r w:rsidR="006C30C8" w:rsidRPr="006C30C8">
        <w:rPr>
          <w:rFonts w:ascii="游ゴシック" w:eastAsia="游ゴシック" w:hAnsi="游ゴシック" w:hint="eastAsia"/>
        </w:rPr>
        <w:t>が区域内にある場合は、配置図</w:t>
      </w:r>
      <w:r w:rsidR="00C84B77">
        <w:rPr>
          <w:rFonts w:ascii="游ゴシック" w:eastAsia="游ゴシック" w:hAnsi="游ゴシック" w:hint="eastAsia"/>
        </w:rPr>
        <w:t>等</w:t>
      </w:r>
      <w:r w:rsidR="006C30C8" w:rsidRPr="006C30C8">
        <w:rPr>
          <w:rFonts w:ascii="游ゴシック" w:eastAsia="游ゴシック" w:hAnsi="游ゴシック" w:hint="eastAsia"/>
        </w:rPr>
        <w:t>に区域を示したものを提出ください。</w:t>
      </w:r>
    </w:p>
    <w:p w:rsidR="006C30C8" w:rsidRPr="006C30C8" w:rsidRDefault="006C30C8" w:rsidP="006C30C8">
      <w:pPr>
        <w:rPr>
          <w:rFonts w:ascii="游ゴシック" w:eastAsia="游ゴシック" w:hAnsi="游ゴシック"/>
        </w:rPr>
      </w:pPr>
    </w:p>
    <w:p w:rsidR="006C30C8" w:rsidRPr="006C30C8" w:rsidRDefault="006C30C8" w:rsidP="006C30C8">
      <w:pPr>
        <w:rPr>
          <w:rFonts w:ascii="游ゴシック" w:eastAsia="游ゴシック" w:hAnsi="游ゴシック"/>
        </w:rPr>
      </w:pPr>
    </w:p>
    <w:p w:rsidR="006C30C8" w:rsidRPr="006C30C8" w:rsidRDefault="006C30C8" w:rsidP="006C30C8">
      <w:pPr>
        <w:rPr>
          <w:rFonts w:ascii="游ゴシック" w:eastAsia="游ゴシック" w:hAnsi="游ゴシック"/>
        </w:rPr>
      </w:pPr>
    </w:p>
    <w:p w:rsidR="008A309C" w:rsidRPr="006C30C8" w:rsidRDefault="008A309C" w:rsidP="006C30C8">
      <w:pPr>
        <w:rPr>
          <w:rFonts w:ascii="游ゴシック" w:eastAsia="游ゴシック" w:hAnsi="游ゴシック"/>
        </w:rPr>
      </w:pPr>
    </w:p>
    <w:sectPr w:rsidR="008A309C" w:rsidRPr="006C30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6F"/>
    <w:rsid w:val="002A4B84"/>
    <w:rsid w:val="005D4791"/>
    <w:rsid w:val="006C30C8"/>
    <w:rsid w:val="00742073"/>
    <w:rsid w:val="008A309C"/>
    <w:rsid w:val="008D6E49"/>
    <w:rsid w:val="00986058"/>
    <w:rsid w:val="009F136F"/>
    <w:rsid w:val="00BD4D6B"/>
    <w:rsid w:val="00C84B77"/>
    <w:rsid w:val="00D516B4"/>
    <w:rsid w:val="00F5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E6F97"/>
  <w15:chartTrackingRefBased/>
  <w15:docId w15:val="{C729FCEB-21EA-482B-A9A4-B3766D21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791"/>
    <w:rPr>
      <w:rFonts w:asciiTheme="majorHAnsi" w:eastAsiaTheme="majorEastAsia" w:hAnsiTheme="majorHAnsi" w:cstheme="majorBidi"/>
      <w:sz w:val="18"/>
      <w:szCs w:val="18"/>
    </w:rPr>
  </w:style>
  <w:style w:type="table" w:styleId="a5">
    <w:name w:val="Table Grid"/>
    <w:basedOn w:val="a1"/>
    <w:uiPriority w:val="39"/>
    <w:rsid w:val="00F5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瑞来</dc:creator>
  <cp:keywords/>
  <dc:description/>
  <cp:lastModifiedBy>吉崎　龍平</cp:lastModifiedBy>
  <cp:revision>11</cp:revision>
  <cp:lastPrinted>2022-03-11T04:56:00Z</cp:lastPrinted>
  <dcterms:created xsi:type="dcterms:W3CDTF">2022-02-15T01:31:00Z</dcterms:created>
  <dcterms:modified xsi:type="dcterms:W3CDTF">2022-03-11T08:07:00Z</dcterms:modified>
</cp:coreProperties>
</file>